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0F83" w14:textId="62489CEC" w:rsidR="00E56F7A" w:rsidRDefault="003232B8" w:rsidP="003232B8">
      <w:pPr>
        <w:jc w:val="center"/>
      </w:pPr>
      <w:r>
        <w:t>Table of Contents</w:t>
      </w:r>
    </w:p>
    <w:p w14:paraId="16B8E35A" w14:textId="00D3B89B" w:rsidR="00EB471E" w:rsidRDefault="00EB471E" w:rsidP="003232B8">
      <w:pPr>
        <w:jc w:val="center"/>
      </w:pPr>
    </w:p>
    <w:p w14:paraId="555DCF60" w14:textId="77777777" w:rsidR="00EB471E" w:rsidRDefault="00EB471E" w:rsidP="003232B8">
      <w:pPr>
        <w:jc w:val="center"/>
      </w:pPr>
    </w:p>
    <w:p w14:paraId="2DCBE5C4" w14:textId="023A5AC3" w:rsidR="003232B8" w:rsidRDefault="003232B8" w:rsidP="003232B8">
      <w:pPr>
        <w:jc w:val="center"/>
      </w:pPr>
    </w:p>
    <w:p w14:paraId="13B8940E" w14:textId="12121822" w:rsidR="003232B8" w:rsidRDefault="003232B8" w:rsidP="00EB471E">
      <w:pPr>
        <w:spacing w:line="276" w:lineRule="auto"/>
      </w:pPr>
      <w:r w:rsidRPr="003232B8">
        <w:t>C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B3481E1" w14:textId="57989FBC" w:rsidR="003232B8" w:rsidRDefault="003232B8" w:rsidP="00EB471E">
      <w:pPr>
        <w:spacing w:line="276" w:lineRule="auto"/>
        <w:ind w:firstLine="720"/>
      </w:pPr>
      <w:r w:rsidRPr="003232B8">
        <w:t>Operational Tax Advantages of the C Corporation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534DCD8" w14:textId="5C1D7D47" w:rsidR="003232B8" w:rsidRDefault="003232B8" w:rsidP="00EB471E">
      <w:pPr>
        <w:spacing w:line="276" w:lineRule="auto"/>
        <w:ind w:firstLine="720"/>
      </w:pPr>
      <w:r w:rsidRPr="003232B8">
        <w:t>Operational Tax Disadvantages of C Corporations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725BEE6C" w14:textId="4BD69913" w:rsidR="003232B8" w:rsidRDefault="003232B8" w:rsidP="00EB471E">
      <w:pPr>
        <w:spacing w:line="276" w:lineRule="auto"/>
      </w:pPr>
    </w:p>
    <w:p w14:paraId="02BB40DA" w14:textId="7029F5B7" w:rsidR="003232B8" w:rsidRDefault="003232B8" w:rsidP="00EB471E">
      <w:pPr>
        <w:spacing w:line="276" w:lineRule="auto"/>
      </w:pPr>
      <w:r w:rsidRPr="003232B8">
        <w:t>General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4C4696A" w14:textId="422C57F1" w:rsidR="003232B8" w:rsidRDefault="003232B8" w:rsidP="00EB471E">
      <w:pPr>
        <w:spacing w:line="276" w:lineRule="auto"/>
        <w:ind w:firstLine="720"/>
      </w:pPr>
      <w:r w:rsidRPr="003232B8">
        <w:t>Filing Issues-All entities taxed as C Corporations file IRS Form 1120</w:t>
      </w:r>
      <w:r>
        <w:tab/>
      </w:r>
      <w:r>
        <w:tab/>
        <w:t>3</w:t>
      </w:r>
    </w:p>
    <w:p w14:paraId="3A367D8F" w14:textId="577BBBF4" w:rsidR="003232B8" w:rsidRDefault="003232B8" w:rsidP="00EB471E">
      <w:pPr>
        <w:spacing w:line="276" w:lineRule="auto"/>
      </w:pPr>
    </w:p>
    <w:p w14:paraId="40E653C9" w14:textId="5762378E" w:rsidR="003232B8" w:rsidRDefault="003232B8" w:rsidP="00EB471E">
      <w:pPr>
        <w:spacing w:line="276" w:lineRule="auto"/>
      </w:pPr>
      <w:r w:rsidRPr="003232B8">
        <w:t>Special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DFA1E12" w14:textId="6F46C076" w:rsidR="003232B8" w:rsidRDefault="003232B8" w:rsidP="00EB471E">
      <w:pPr>
        <w:spacing w:line="276" w:lineRule="auto"/>
        <w:ind w:firstLine="720"/>
      </w:pPr>
      <w:r w:rsidRPr="003232B8">
        <w:t>Capital Gains and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8525346" w14:textId="1BAF9238" w:rsidR="003232B8" w:rsidRDefault="003232B8" w:rsidP="00EB471E">
      <w:pPr>
        <w:spacing w:line="276" w:lineRule="auto"/>
        <w:ind w:firstLine="720"/>
      </w:pPr>
      <w:r w:rsidRPr="003232B8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9893E71" w14:textId="049CE046" w:rsidR="003232B8" w:rsidRDefault="003232B8" w:rsidP="00EB471E">
      <w:pPr>
        <w:spacing w:line="276" w:lineRule="auto"/>
        <w:ind w:firstLine="720"/>
      </w:pPr>
      <w:r w:rsidRPr="003232B8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1548346" w14:textId="7D01E821" w:rsidR="003232B8" w:rsidRDefault="003232B8" w:rsidP="00EB471E">
      <w:pPr>
        <w:spacing w:line="276" w:lineRule="auto"/>
        <w:ind w:firstLine="720"/>
      </w:pPr>
      <w:r w:rsidRPr="003232B8">
        <w:t>Dividends-Received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D3341C2" w14:textId="1F458EA9" w:rsidR="003232B8" w:rsidRDefault="003232B8" w:rsidP="00EB471E">
      <w:pPr>
        <w:spacing w:line="276" w:lineRule="auto"/>
        <w:ind w:firstLine="720"/>
      </w:pPr>
      <w:r w:rsidRPr="003232B8">
        <w:t>Related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A7EBD77" w14:textId="76265952" w:rsidR="003232B8" w:rsidRDefault="003232B8" w:rsidP="00EB471E">
      <w:pPr>
        <w:spacing w:line="276" w:lineRule="auto"/>
        <w:ind w:firstLine="720"/>
      </w:pPr>
      <w:r w:rsidRPr="003232B8">
        <w:t>Net Operating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83DA36A" w14:textId="54E57A2F" w:rsidR="003232B8" w:rsidRDefault="003232B8" w:rsidP="00EB471E">
      <w:pPr>
        <w:spacing w:line="276" w:lineRule="auto"/>
        <w:ind w:firstLine="720"/>
      </w:pPr>
      <w:r w:rsidRPr="003232B8">
        <w:t>NOL Carrybacks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28D38F1" w14:textId="32B99C99" w:rsidR="003232B8" w:rsidRDefault="003232B8" w:rsidP="00EB471E">
      <w:pPr>
        <w:spacing w:line="276" w:lineRule="auto"/>
        <w:ind w:firstLine="720"/>
      </w:pPr>
      <w:r w:rsidRPr="003232B8">
        <w:t>Constructive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5B96EA1" w14:textId="2421ABB8" w:rsidR="003232B8" w:rsidRDefault="003232B8" w:rsidP="00EB471E">
      <w:pPr>
        <w:spacing w:line="276" w:lineRule="auto"/>
        <w:ind w:firstLine="720"/>
      </w:pPr>
      <w:r w:rsidRPr="003232B8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AC5755B" w14:textId="752F8D7C" w:rsidR="003232B8" w:rsidRDefault="003232B8" w:rsidP="00EB471E">
      <w:pPr>
        <w:spacing w:line="276" w:lineRule="auto"/>
        <w:ind w:firstLine="720"/>
      </w:pPr>
      <w:r w:rsidRPr="003232B8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C53BE24" w14:textId="1E1ABD17" w:rsidR="003232B8" w:rsidRDefault="003232B8" w:rsidP="00EB471E">
      <w:pPr>
        <w:spacing w:line="276" w:lineRule="auto"/>
        <w:ind w:firstLine="720"/>
      </w:pPr>
      <w:r w:rsidRPr="003232B8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2D4E8D6" w14:textId="1E9CB3DC" w:rsidR="003232B8" w:rsidRDefault="003232B8" w:rsidP="00EB471E">
      <w:pPr>
        <w:spacing w:line="276" w:lineRule="auto"/>
        <w:ind w:firstLine="720"/>
      </w:pPr>
      <w:r w:rsidRPr="003232B8">
        <w:t>Distributions &amp;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CACCFFE" w14:textId="25135725" w:rsidR="003232B8" w:rsidRDefault="003232B8" w:rsidP="00EB471E">
      <w:pPr>
        <w:spacing w:line="276" w:lineRule="auto"/>
        <w:ind w:firstLine="720"/>
      </w:pPr>
      <w:r w:rsidRPr="003232B8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202DC9D" w14:textId="5F99A57F" w:rsidR="003232B8" w:rsidRDefault="003232B8" w:rsidP="00EB471E">
      <w:pPr>
        <w:spacing w:line="276" w:lineRule="auto"/>
        <w:ind w:firstLine="720"/>
      </w:pPr>
      <w:r w:rsidRPr="003232B8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46EEA48" w14:textId="0D2EF775" w:rsidR="003232B8" w:rsidRDefault="003232B8" w:rsidP="00EB471E">
      <w:pPr>
        <w:spacing w:line="276" w:lineRule="auto"/>
        <w:ind w:firstLine="720"/>
      </w:pPr>
      <w:r w:rsidRPr="003232B8">
        <w:t>Form 8937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DD7FE9F" w14:textId="7580ACE0" w:rsidR="003232B8" w:rsidRDefault="003232B8" w:rsidP="00EB471E">
      <w:pPr>
        <w:spacing w:line="276" w:lineRule="auto"/>
        <w:ind w:firstLine="720"/>
      </w:pPr>
      <w:r w:rsidRPr="003232B8">
        <w:t>C CORPORATION NON-LIQUIDATING DISTRIBUTIONS</w:t>
      </w:r>
      <w:r>
        <w:tab/>
      </w:r>
      <w:r>
        <w:tab/>
      </w:r>
      <w:r>
        <w:tab/>
      </w:r>
      <w:r>
        <w:tab/>
        <w:t>36</w:t>
      </w:r>
    </w:p>
    <w:p w14:paraId="6474F36D" w14:textId="771B2E2F" w:rsidR="003232B8" w:rsidRDefault="003232B8" w:rsidP="00EB471E">
      <w:pPr>
        <w:spacing w:line="276" w:lineRule="auto"/>
        <w:ind w:firstLine="720"/>
      </w:pPr>
      <w:r w:rsidRPr="003232B8">
        <w:t>Exception to the Proportionate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8C7B2E3" w14:textId="0CC7002B" w:rsidR="003232B8" w:rsidRDefault="003232B8" w:rsidP="00EB471E">
      <w:pPr>
        <w:spacing w:line="276" w:lineRule="auto"/>
        <w:ind w:firstLine="720"/>
      </w:pPr>
      <w:r w:rsidRPr="003232B8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95E2D1D" w14:textId="4F86B629" w:rsidR="003232B8" w:rsidRDefault="003232B8" w:rsidP="00EB471E">
      <w:pPr>
        <w:spacing w:line="276" w:lineRule="auto"/>
        <w:ind w:firstLine="720"/>
      </w:pPr>
      <w:r w:rsidRPr="003232B8">
        <w:t>Liquidations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E0734DB" w14:textId="00A724B2" w:rsidR="003232B8" w:rsidRDefault="003232B8" w:rsidP="00EB471E">
      <w:pPr>
        <w:spacing w:line="276" w:lineRule="auto"/>
        <w:ind w:firstLine="720"/>
      </w:pPr>
      <w:r w:rsidRPr="003232B8">
        <w:t>Other- UTP 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73774F7" w14:textId="3431D475" w:rsidR="003232B8" w:rsidRDefault="003232B8" w:rsidP="00EB471E">
      <w:pPr>
        <w:spacing w:line="276" w:lineRule="auto"/>
        <w:ind w:firstLine="720"/>
      </w:pPr>
      <w:r w:rsidRPr="003232B8">
        <w:t>Schedule UTP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6B049CB" w14:textId="3EB47A49" w:rsidR="003232B8" w:rsidRDefault="003232B8" w:rsidP="00EB471E">
      <w:pPr>
        <w:spacing w:line="276" w:lineRule="auto"/>
        <w:ind w:firstLine="720"/>
      </w:pPr>
      <w:r w:rsidRPr="003232B8">
        <w:t>Consolidated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0F795C4" w14:textId="77777777" w:rsidR="003232B8" w:rsidRDefault="003232B8" w:rsidP="00EB471E">
      <w:pPr>
        <w:spacing w:line="276" w:lineRule="auto"/>
      </w:pPr>
    </w:p>
    <w:p w14:paraId="748265D7" w14:textId="74EA310E" w:rsidR="003232B8" w:rsidRDefault="003232B8" w:rsidP="00EB471E">
      <w:pPr>
        <w:spacing w:line="276" w:lineRule="auto"/>
      </w:pPr>
      <w:r w:rsidRPr="003232B8">
        <w:t>Corporate Formation Issues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816BC42" w14:textId="05454CBA" w:rsidR="003232B8" w:rsidRDefault="003232B8" w:rsidP="00EB471E">
      <w:pPr>
        <w:spacing w:line="276" w:lineRule="auto"/>
        <w:ind w:firstLine="720"/>
      </w:pPr>
      <w:r w:rsidRPr="003232B8">
        <w:t>Factors to Consider in Choosing a Business Form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3F8381D" w14:textId="77777777" w:rsidR="003232B8" w:rsidRDefault="003232B8" w:rsidP="00EB471E">
      <w:pPr>
        <w:spacing w:line="276" w:lineRule="auto"/>
        <w:ind w:firstLine="720"/>
      </w:pPr>
    </w:p>
    <w:p w14:paraId="4E9D2D79" w14:textId="0B2C591F" w:rsidR="003232B8" w:rsidRDefault="003232B8" w:rsidP="00EB471E">
      <w:pPr>
        <w:spacing w:line="276" w:lineRule="auto"/>
        <w:ind w:firstLine="720"/>
      </w:pPr>
      <w:r w:rsidRPr="003232B8">
        <w:t>EIN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26DB6012" w14:textId="77777777" w:rsidR="003232B8" w:rsidRDefault="003232B8" w:rsidP="00EB471E">
      <w:pPr>
        <w:spacing w:line="276" w:lineRule="auto"/>
        <w:ind w:left="720" w:firstLine="720"/>
      </w:pPr>
      <w:r w:rsidRPr="003232B8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5519AE42" w14:textId="77777777" w:rsidR="003232B8" w:rsidRDefault="003232B8" w:rsidP="00EB471E">
      <w:pPr>
        <w:spacing w:line="276" w:lineRule="auto"/>
        <w:ind w:left="720" w:firstLine="720"/>
      </w:pPr>
      <w:r w:rsidRPr="003232B8">
        <w:t>Single Member LLCs with Employees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6B7B4654" w14:textId="77777777" w:rsidR="003232B8" w:rsidRDefault="003232B8" w:rsidP="00EB471E">
      <w:pPr>
        <w:spacing w:line="276" w:lineRule="auto"/>
      </w:pPr>
    </w:p>
    <w:p w14:paraId="4A7B8EE0" w14:textId="77777777" w:rsidR="003232B8" w:rsidRDefault="003232B8" w:rsidP="00EB471E">
      <w:pPr>
        <w:spacing w:line="276" w:lineRule="auto"/>
        <w:ind w:firstLine="720"/>
      </w:pPr>
      <w:r w:rsidRPr="003232B8">
        <w:t>Formation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9BF48C3" w14:textId="77777777" w:rsidR="003232B8" w:rsidRDefault="003232B8" w:rsidP="00EB471E">
      <w:pPr>
        <w:spacing w:line="276" w:lineRule="auto"/>
        <w:ind w:left="720" w:firstLine="720"/>
      </w:pPr>
      <w:r w:rsidRPr="003232B8">
        <w:t>Mandatory Rules of Code Section 351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31D770C" w14:textId="77777777" w:rsidR="003232B8" w:rsidRDefault="003232B8" w:rsidP="00EB471E">
      <w:pPr>
        <w:spacing w:line="276" w:lineRule="auto"/>
        <w:ind w:left="720" w:firstLine="720"/>
      </w:pPr>
      <w:r w:rsidRPr="003232B8">
        <w:t>The Problem with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4B0C93F" w14:textId="77777777" w:rsidR="003232B8" w:rsidRDefault="003232B8" w:rsidP="00EB471E">
      <w:pPr>
        <w:spacing w:line="276" w:lineRule="auto"/>
        <w:ind w:left="720" w:firstLine="720"/>
      </w:pPr>
      <w:r w:rsidRPr="003232B8">
        <w:lastRenderedPageBreak/>
        <w:t>Section 351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7F2166AE" w14:textId="77777777" w:rsidR="003232B8" w:rsidRDefault="003232B8" w:rsidP="00EB471E">
      <w:pPr>
        <w:spacing w:line="276" w:lineRule="auto"/>
        <w:ind w:left="720" w:firstLine="720"/>
      </w:pPr>
      <w:r>
        <w:t>W</w:t>
      </w:r>
      <w:r w:rsidRPr="003232B8">
        <w:t>here the taxpayer may want to avoid the tax-free incorporation rules</w:t>
      </w:r>
      <w:r>
        <w:tab/>
        <w:t>64</w:t>
      </w:r>
    </w:p>
    <w:p w14:paraId="647DEEBF" w14:textId="77777777" w:rsidR="003232B8" w:rsidRDefault="003232B8" w:rsidP="00EB471E">
      <w:pPr>
        <w:spacing w:line="276" w:lineRule="auto"/>
        <w:ind w:left="720" w:firstLine="720"/>
      </w:pPr>
      <w:r w:rsidRPr="003232B8">
        <w:t>Example 1 Using an NOL carryforward</w:t>
      </w:r>
      <w:r>
        <w:tab/>
      </w:r>
      <w:r>
        <w:tab/>
      </w:r>
      <w:r>
        <w:tab/>
      </w:r>
      <w:r>
        <w:tab/>
      </w:r>
      <w:r>
        <w:tab/>
        <w:t>65</w:t>
      </w:r>
      <w:r>
        <w:tab/>
      </w:r>
    </w:p>
    <w:p w14:paraId="01266A26" w14:textId="77777777" w:rsidR="003232B8" w:rsidRDefault="003232B8" w:rsidP="00EB471E">
      <w:pPr>
        <w:spacing w:line="276" w:lineRule="auto"/>
        <w:ind w:left="720" w:firstLine="720"/>
      </w:pPr>
      <w:r w:rsidRPr="003232B8">
        <w:t>Example 2 Using a capital loss carryforward and net operating loss</w:t>
      </w:r>
      <w:r>
        <w:tab/>
        <w:t>66</w:t>
      </w:r>
    </w:p>
    <w:p w14:paraId="7164B4D9" w14:textId="77777777" w:rsidR="003232B8" w:rsidRDefault="003232B8" w:rsidP="00EB471E">
      <w:pPr>
        <w:spacing w:line="276" w:lineRule="auto"/>
        <w:ind w:left="720" w:firstLine="720"/>
      </w:pPr>
      <w:r w:rsidRPr="003232B8">
        <w:t>Contributions to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8145DFB" w14:textId="77777777" w:rsidR="003232B8" w:rsidRDefault="003232B8" w:rsidP="00EB471E">
      <w:pPr>
        <w:spacing w:line="276" w:lineRule="auto"/>
      </w:pPr>
    </w:p>
    <w:p w14:paraId="0C74D671" w14:textId="77777777" w:rsidR="003232B8" w:rsidRDefault="003232B8" w:rsidP="00EB471E">
      <w:pPr>
        <w:spacing w:line="276" w:lineRule="auto"/>
        <w:ind w:firstLine="720"/>
      </w:pPr>
      <w:r w:rsidRPr="003232B8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04959DE" w14:textId="77777777" w:rsidR="003232B8" w:rsidRDefault="003232B8" w:rsidP="00EB471E">
      <w:pPr>
        <w:spacing w:line="276" w:lineRule="auto"/>
        <w:ind w:left="720" w:firstLine="720"/>
      </w:pPr>
      <w:r w:rsidRPr="003232B8">
        <w:t>Qualifying Rules for SECTION 1244 Corporations and shareholders</w:t>
      </w:r>
      <w:r>
        <w:tab/>
        <w:t>68</w:t>
      </w:r>
    </w:p>
    <w:p w14:paraId="5EAA3609" w14:textId="77777777" w:rsidR="003232B8" w:rsidRDefault="003232B8" w:rsidP="00EB471E">
      <w:pPr>
        <w:spacing w:line="276" w:lineRule="auto"/>
        <w:ind w:left="720" w:firstLine="720"/>
      </w:pPr>
      <w:r w:rsidRPr="003232B8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5A262A85" w14:textId="77777777" w:rsidR="003232B8" w:rsidRDefault="003232B8" w:rsidP="00EB471E">
      <w:pPr>
        <w:spacing w:line="276" w:lineRule="auto"/>
        <w:ind w:left="720" w:firstLine="720"/>
      </w:pPr>
      <w:r w:rsidRPr="003232B8">
        <w:t>Business Interest Expense Limitation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1614A4B" w14:textId="77777777" w:rsidR="003232B8" w:rsidRDefault="003232B8" w:rsidP="00EB471E">
      <w:pPr>
        <w:spacing w:line="276" w:lineRule="auto"/>
        <w:ind w:left="720" w:firstLine="720"/>
      </w:pPr>
      <w:r w:rsidRPr="003232B8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4FC82FE" w14:textId="77777777" w:rsidR="003232B8" w:rsidRDefault="003232B8" w:rsidP="00EB471E">
      <w:pPr>
        <w:spacing w:line="276" w:lineRule="auto"/>
        <w:ind w:left="720" w:firstLine="720"/>
      </w:pPr>
      <w:r w:rsidRPr="003232B8">
        <w:t>$29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A6895E8" w14:textId="77777777" w:rsidR="003232B8" w:rsidRDefault="003232B8" w:rsidP="00EB471E">
      <w:pPr>
        <w:spacing w:line="276" w:lineRule="auto"/>
        <w:ind w:left="720" w:firstLine="720"/>
      </w:pPr>
      <w:r w:rsidRPr="003232B8">
        <w:t>The Limits-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009AB5B3" w14:textId="77777777" w:rsidR="003232B8" w:rsidRDefault="003232B8" w:rsidP="00EB471E">
      <w:pPr>
        <w:spacing w:line="276" w:lineRule="auto"/>
        <w:ind w:left="720" w:firstLine="720"/>
      </w:pPr>
      <w:r w:rsidRPr="003232B8"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0F62751B" w14:textId="77777777" w:rsidR="003232B8" w:rsidRDefault="003232B8" w:rsidP="00EB471E">
      <w:pPr>
        <w:spacing w:line="276" w:lineRule="auto"/>
      </w:pPr>
    </w:p>
    <w:p w14:paraId="73321D06" w14:textId="77777777" w:rsidR="003232B8" w:rsidRDefault="003232B8" w:rsidP="00EB471E">
      <w:pPr>
        <w:spacing w:line="276" w:lineRule="auto"/>
      </w:pPr>
      <w:r w:rsidRPr="003232B8">
        <w:t>Accumulated Earnings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3F63A3EC" w14:textId="42B8DCEF" w:rsidR="003232B8" w:rsidRDefault="003232B8" w:rsidP="00EB471E">
      <w:pPr>
        <w:spacing w:line="276" w:lineRule="auto"/>
        <w:ind w:firstLine="720"/>
      </w:pPr>
      <w:r w:rsidRPr="003232B8">
        <w:t>Pertinent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490095FD" w14:textId="78E374BB" w:rsidR="003232B8" w:rsidRDefault="003232B8" w:rsidP="00EB471E">
      <w:pPr>
        <w:spacing w:line="276" w:lineRule="auto"/>
        <w:ind w:firstLine="720"/>
      </w:pPr>
      <w:r w:rsidRPr="003232B8">
        <w:t>Reasonable Accumulation Needs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49021CF3" w14:textId="5FC6C2DF" w:rsidR="003232B8" w:rsidRDefault="003232B8" w:rsidP="00EB471E">
      <w:pPr>
        <w:spacing w:line="276" w:lineRule="auto"/>
        <w:ind w:firstLine="720"/>
      </w:pPr>
      <w:r w:rsidRPr="003232B8">
        <w:t>Key Court Cases and Arguments for Accumulation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72EBD0D" w14:textId="718B7489" w:rsidR="003232B8" w:rsidRDefault="003232B8" w:rsidP="00EB471E">
      <w:pPr>
        <w:spacing w:line="276" w:lineRule="auto"/>
        <w:ind w:firstLine="720"/>
      </w:pPr>
      <w:r w:rsidRPr="003232B8">
        <w:t>Favorable Arguments to Refute the AET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E029559" w14:textId="02C7A6B1" w:rsidR="003232B8" w:rsidRDefault="003232B8" w:rsidP="00EB471E">
      <w:pPr>
        <w:spacing w:line="276" w:lineRule="auto"/>
        <w:ind w:firstLine="720"/>
      </w:pPr>
      <w:r w:rsidRPr="003232B8">
        <w:t>Factors to Avoid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405279B1" w14:textId="514BEE85" w:rsidR="003232B8" w:rsidRDefault="003232B8" w:rsidP="00EB471E">
      <w:pPr>
        <w:spacing w:line="276" w:lineRule="auto"/>
        <w:ind w:firstLine="720"/>
      </w:pPr>
      <w:r w:rsidRPr="003232B8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690A37DC" w14:textId="5AC0B4B0" w:rsidR="003232B8" w:rsidRDefault="00EB471E" w:rsidP="00EB471E">
      <w:pPr>
        <w:spacing w:line="276" w:lineRule="auto"/>
        <w:ind w:firstLine="720"/>
      </w:pPr>
      <w:r w:rsidRPr="00EB471E">
        <w:t>Consent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DE0B1DC" w14:textId="20140A4F" w:rsidR="00EB471E" w:rsidRDefault="00EB471E" w:rsidP="00EB471E">
      <w:pPr>
        <w:spacing w:line="276" w:lineRule="auto"/>
      </w:pPr>
    </w:p>
    <w:p w14:paraId="3BDC33D1" w14:textId="3642A2F5" w:rsidR="00EB471E" w:rsidRDefault="00EB471E" w:rsidP="00EB471E">
      <w:pPr>
        <w:spacing w:line="276" w:lineRule="auto"/>
      </w:pPr>
      <w:r w:rsidRPr="00EB471E">
        <w:t>Personal Service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3572714A" w14:textId="68B6D020" w:rsidR="00EB471E" w:rsidRDefault="00EB471E" w:rsidP="00EB471E">
      <w:pPr>
        <w:spacing w:line="276" w:lineRule="auto"/>
        <w:ind w:firstLine="720"/>
      </w:pPr>
      <w:r w:rsidRPr="00EB471E">
        <w:t>Tax Characteristics of the PSC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85B4F9D" w14:textId="6308C04F" w:rsidR="00EB471E" w:rsidRDefault="00EB471E" w:rsidP="00EB471E">
      <w:pPr>
        <w:spacing w:line="276" w:lineRule="auto"/>
        <w:ind w:firstLine="720"/>
      </w:pPr>
      <w:r w:rsidRPr="00EB471E">
        <w:t>PSC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61C67854" w14:textId="40E07981" w:rsidR="00EB471E" w:rsidRDefault="00EB471E" w:rsidP="00EB471E">
      <w:pPr>
        <w:spacing w:line="276" w:lineRule="auto"/>
        <w:ind w:firstLine="720"/>
      </w:pPr>
      <w:r w:rsidRPr="00EB471E">
        <w:t>Form 1120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C329FA7" w14:textId="77777777" w:rsidR="00EB471E" w:rsidRDefault="00EB471E" w:rsidP="00EB471E">
      <w:pPr>
        <w:spacing w:line="276" w:lineRule="auto"/>
      </w:pPr>
    </w:p>
    <w:p w14:paraId="7EA23322" w14:textId="17450560" w:rsidR="00EB471E" w:rsidRDefault="00EB471E" w:rsidP="00EB471E">
      <w:pPr>
        <w:spacing w:line="276" w:lineRule="auto"/>
      </w:pPr>
      <w:r w:rsidRPr="00EB471E">
        <w:t>Personal Holding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4DEBEED8" w14:textId="502486F2" w:rsidR="00EB471E" w:rsidRDefault="00EB471E" w:rsidP="00EB471E">
      <w:pPr>
        <w:spacing w:line="276" w:lineRule="auto"/>
        <w:ind w:firstLine="720"/>
      </w:pPr>
      <w:r w:rsidRPr="00EB471E">
        <w:t>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459CCE1" w14:textId="24159AD9" w:rsidR="00EB471E" w:rsidRDefault="00EB471E" w:rsidP="00EB471E">
      <w:pPr>
        <w:spacing w:line="276" w:lineRule="auto"/>
      </w:pPr>
    </w:p>
    <w:p w14:paraId="6BE238C4" w14:textId="72DC0758" w:rsidR="00EB471E" w:rsidRDefault="00EB471E" w:rsidP="00EB471E">
      <w:pPr>
        <w:spacing w:line="276" w:lineRule="auto"/>
      </w:pPr>
      <w:r w:rsidRPr="00EB471E">
        <w:t>Case Study-Converting Existing LLC to C Corporation</w:t>
      </w:r>
      <w:r>
        <w:tab/>
      </w:r>
      <w:r>
        <w:tab/>
      </w:r>
      <w:r>
        <w:tab/>
      </w:r>
      <w:r>
        <w:tab/>
      </w:r>
      <w:r>
        <w:tab/>
        <w:t>99</w:t>
      </w:r>
    </w:p>
    <w:p w14:paraId="7E12A1EB" w14:textId="643E84D8" w:rsidR="00EB471E" w:rsidRDefault="00EB471E" w:rsidP="00EB471E">
      <w:pPr>
        <w:spacing w:line="276" w:lineRule="auto"/>
        <w:ind w:firstLine="720"/>
      </w:pPr>
      <w:r w:rsidRPr="00EB471E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D7B3E5D" w14:textId="370AA287" w:rsidR="00EB471E" w:rsidRDefault="00EB471E" w:rsidP="00EB471E">
      <w:pPr>
        <w:spacing w:line="276" w:lineRule="auto"/>
        <w:ind w:firstLine="720"/>
      </w:pPr>
      <w:r w:rsidRPr="00EB471E">
        <w:t>Conversion Issues and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2E09DF00" w14:textId="4BBCC131" w:rsidR="00EB471E" w:rsidRDefault="00EB471E" w:rsidP="00EB471E">
      <w:pPr>
        <w:spacing w:line="276" w:lineRule="auto"/>
      </w:pPr>
    </w:p>
    <w:p w14:paraId="234C4580" w14:textId="43448FC2" w:rsidR="00EB471E" w:rsidRDefault="00EB471E" w:rsidP="00EB471E">
      <w:pPr>
        <w:spacing w:line="276" w:lineRule="auto"/>
      </w:pPr>
      <w:r w:rsidRPr="00EB471E">
        <w:t>Conversion – S Corporation to C Corporation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84BDB6C" w14:textId="71D37BE4" w:rsidR="00EB471E" w:rsidRDefault="00EB471E" w:rsidP="00EB471E">
      <w:pPr>
        <w:spacing w:line="276" w:lineRule="auto"/>
        <w:ind w:firstLine="720"/>
      </w:pPr>
      <w:r w:rsidRPr="00EB471E">
        <w:t>Case Study-Converting Existing S Corporation to C Corporation</w:t>
      </w:r>
      <w:r>
        <w:tab/>
      </w:r>
      <w:r>
        <w:tab/>
      </w:r>
      <w:r>
        <w:tab/>
        <w:t>108</w:t>
      </w:r>
    </w:p>
    <w:p w14:paraId="5944D1C9" w14:textId="4B3B0997" w:rsidR="00EB471E" w:rsidRDefault="00EB471E" w:rsidP="00EB471E">
      <w:pPr>
        <w:spacing w:line="276" w:lineRule="auto"/>
        <w:ind w:firstLine="720"/>
      </w:pPr>
      <w:r w:rsidRPr="00EB471E">
        <w:t>Conversion Issues and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32EBC77D" w14:textId="6096CE75" w:rsidR="00EB471E" w:rsidRDefault="00EB471E" w:rsidP="00EB471E">
      <w:pPr>
        <w:spacing w:line="276" w:lineRule="auto"/>
        <w:ind w:firstLine="720"/>
      </w:pPr>
      <w:r w:rsidRPr="00EB471E">
        <w:t>Corporate Statement of Revocation of S Election under §1362(a)</w:t>
      </w:r>
      <w:r>
        <w:tab/>
      </w:r>
      <w:r>
        <w:tab/>
      </w:r>
      <w:r>
        <w:tab/>
        <w:t>109</w:t>
      </w:r>
    </w:p>
    <w:p w14:paraId="147B52A5" w14:textId="69A6BA03" w:rsidR="00EB471E" w:rsidRDefault="00EB471E" w:rsidP="00EB471E">
      <w:pPr>
        <w:spacing w:line="276" w:lineRule="auto"/>
        <w:ind w:firstLine="720"/>
      </w:pPr>
      <w:r w:rsidRPr="00EB471E">
        <w:t>Shareholder Consent to Revocation of S Corp Election</w:t>
      </w:r>
      <w:r>
        <w:t xml:space="preserve"> </w:t>
      </w:r>
      <w:r w:rsidRPr="00EB471E">
        <w:t>under IRC §1362(d)(1)</w:t>
      </w:r>
      <w:r>
        <w:tab/>
        <w:t>110</w:t>
      </w:r>
    </w:p>
    <w:p w14:paraId="3C3AEA3E" w14:textId="77777777" w:rsidR="00EB471E" w:rsidRDefault="00EB471E" w:rsidP="00EB471E">
      <w:pPr>
        <w:ind w:firstLine="720"/>
      </w:pPr>
    </w:p>
    <w:sectPr w:rsidR="00EB471E" w:rsidSect="00822D29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7738" w14:textId="77777777" w:rsidR="007D4E78" w:rsidRDefault="007D4E78" w:rsidP="00EB471E">
      <w:r>
        <w:separator/>
      </w:r>
    </w:p>
  </w:endnote>
  <w:endnote w:type="continuationSeparator" w:id="0">
    <w:p w14:paraId="39C3AA43" w14:textId="77777777" w:rsidR="007D4E78" w:rsidRDefault="007D4E78" w:rsidP="00EB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C2E5" w14:textId="77777777" w:rsidR="005E0762" w:rsidRDefault="005E0762" w:rsidP="005E0762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F2DD171" wp14:editId="2BC8B96A">
          <wp:simplePos x="0" y="0"/>
          <wp:positionH relativeFrom="column">
            <wp:posOffset>204794</wp:posOffset>
          </wp:positionH>
          <wp:positionV relativeFrom="paragraph">
            <wp:posOffset>-25992</wp:posOffset>
          </wp:positionV>
          <wp:extent cx="1366359" cy="278819"/>
          <wp:effectExtent l="0" t="0" r="5715" b="635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359" cy="278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16"/>
        <w:szCs w:val="16"/>
      </w:rPr>
      <w:t>Table of Contents</w:t>
    </w:r>
  </w:p>
  <w:p w14:paraId="5335BA02" w14:textId="77777777" w:rsidR="005E0762" w:rsidRDefault="005E0762" w:rsidP="005E0762">
    <w:pPr>
      <w:pStyle w:val="Footer"/>
      <w:jc w:val="right"/>
    </w:pPr>
    <w:r>
      <w:rPr>
        <w:i/>
        <w:iCs/>
        <w:sz w:val="16"/>
        <w:szCs w:val="16"/>
      </w:rPr>
      <w:t>Copyright © 2023 Jennings Advisory Group, LLC</w:t>
    </w:r>
  </w:p>
  <w:p w14:paraId="2408B72F" w14:textId="77777777" w:rsidR="005E0762" w:rsidRPr="005E0762" w:rsidRDefault="005E0762" w:rsidP="005E0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BF5A" w14:textId="176D970D" w:rsidR="00EB471E" w:rsidRDefault="00EB471E" w:rsidP="00EB471E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F69D117" wp14:editId="69428A4C">
          <wp:simplePos x="0" y="0"/>
          <wp:positionH relativeFrom="column">
            <wp:posOffset>204794</wp:posOffset>
          </wp:positionH>
          <wp:positionV relativeFrom="paragraph">
            <wp:posOffset>-25992</wp:posOffset>
          </wp:positionV>
          <wp:extent cx="1366359" cy="278819"/>
          <wp:effectExtent l="0" t="0" r="5715" b="63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359" cy="278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16"/>
        <w:szCs w:val="16"/>
      </w:rPr>
      <w:t>Table of Contents</w:t>
    </w:r>
  </w:p>
  <w:p w14:paraId="2CC657A6" w14:textId="51FAA3E0" w:rsidR="00EB471E" w:rsidRDefault="00EB471E" w:rsidP="00EB471E">
    <w:pPr>
      <w:pStyle w:val="Footer"/>
      <w:jc w:val="right"/>
    </w:pPr>
    <w:r>
      <w:rPr>
        <w:i/>
        <w:iCs/>
        <w:sz w:val="16"/>
        <w:szCs w:val="16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347F" w14:textId="77777777" w:rsidR="007D4E78" w:rsidRDefault="007D4E78" w:rsidP="00EB471E">
      <w:r>
        <w:separator/>
      </w:r>
    </w:p>
  </w:footnote>
  <w:footnote w:type="continuationSeparator" w:id="0">
    <w:p w14:paraId="50450F59" w14:textId="77777777" w:rsidR="007D4E78" w:rsidRDefault="007D4E78" w:rsidP="00EB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DC6D" w14:textId="1C199114" w:rsidR="00EB471E" w:rsidRDefault="00EB471E" w:rsidP="00EB471E">
    <w:pPr>
      <w:pStyle w:val="Header"/>
      <w:jc w:val="right"/>
    </w:pPr>
    <w:r>
      <w:t>2023 C Corporations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B8"/>
    <w:rsid w:val="001A4AE2"/>
    <w:rsid w:val="003232B8"/>
    <w:rsid w:val="005E0762"/>
    <w:rsid w:val="007D4E78"/>
    <w:rsid w:val="00822D29"/>
    <w:rsid w:val="00AD2332"/>
    <w:rsid w:val="00D10E9D"/>
    <w:rsid w:val="00EB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E9548"/>
  <w15:chartTrackingRefBased/>
  <w15:docId w15:val="{FEFAE4C3-2E55-5D45-ACFE-E298A80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71E"/>
  </w:style>
  <w:style w:type="paragraph" w:styleId="Footer">
    <w:name w:val="footer"/>
    <w:basedOn w:val="Normal"/>
    <w:link w:val="FooterChar"/>
    <w:uiPriority w:val="99"/>
    <w:unhideWhenUsed/>
    <w:rsid w:val="00EB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2023-02-06T18:36:00Z</dcterms:created>
  <dcterms:modified xsi:type="dcterms:W3CDTF">2023-02-06T18:52:00Z</dcterms:modified>
</cp:coreProperties>
</file>